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 1 по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28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февраля 2022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БУС-1 (базовый уровень сложности - 1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2046" w:tblpY="37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37"/>
        <w:gridCol w:w="3118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3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1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950-975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окончаний. Спарринг 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различных окончаний 5х5. Сыграть 5 партий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«Размены в шашках»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Изучение. Конспектирование.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160-170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«Дополнительная работа дома»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65-70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8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975-1000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9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окончаний.  Игра между учащимися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различных задач с окончаниями. Сыграть  со всеми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9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10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«активные бортовые шашки»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примеров из сыгранных партий. Конспектирование.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11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170-180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12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«Как закалять здоровье»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70-75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13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1000-1025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14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окончаний.  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Сыграть  через интернет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15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«Захват центра»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схем. Конспектирование.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8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Соревнование че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19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180-190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i w:val="0"/>
                <w:iCs/>
              </w:rPr>
              <w:t>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«Новости спорта»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75-80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i w:val="0"/>
                <w:iCs/>
              </w:rPr>
              <w:t>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1025-1050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«Форсированные окончания».  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«форсированных окончаний». Сыграть  через интернет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«Атака по флангу»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схем. Конспектирование.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/>
              </w:rPr>
              <w:t>.02.202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iCs/>
              </w:rPr>
              <w:t xml:space="preserve"> г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190-200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</w:t>
            </w:r>
          </w:p>
        </w:tc>
        <w:tc>
          <w:tcPr>
            <w:tcW w:w="1337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 w:val="0"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28.02.2022 г.</w:t>
            </w:r>
          </w:p>
        </w:tc>
        <w:tc>
          <w:tcPr>
            <w:tcW w:w="3118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«Психологическая подготовка к соревнованиям»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60-65</w:t>
            </w:r>
          </w:p>
        </w:tc>
        <w:tc>
          <w:tcPr>
            <w:tcW w:w="5310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sectPr>
      <w:headerReference r:id="rId3" w:type="default"/>
      <w:pgSz w:w="16838" w:h="11906" w:orient="landscape"/>
      <w:pgMar w:top="1800" w:right="1440" w:bottom="183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75E7186"/>
    <w:rsid w:val="1BF932B9"/>
    <w:rsid w:val="2DF84847"/>
    <w:rsid w:val="37801DBC"/>
    <w:rsid w:val="391E3133"/>
    <w:rsid w:val="49590ED5"/>
    <w:rsid w:val="4A2937E1"/>
    <w:rsid w:val="4CF744D0"/>
    <w:rsid w:val="55914433"/>
    <w:rsid w:val="5874420D"/>
    <w:rsid w:val="5B765C95"/>
    <w:rsid w:val="620C5FE8"/>
    <w:rsid w:val="6A4C3056"/>
    <w:rsid w:val="7AD55D10"/>
    <w:rsid w:val="7C1B29AD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1</TotalTime>
  <ScaleCrop>false</ScaleCrop>
  <LinksUpToDate>false</LinksUpToDate>
  <CharactersWithSpaces>4345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2022-01-18T03:13:14Z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F2152DA1AD4242ED8AF5758BA2C826E6</vt:lpwstr>
  </property>
</Properties>
</file>